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0D" w:rsidRDefault="00112622" w:rsidP="002F4B0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45pt;margin-top:5.1pt;width:63pt;height:2in;z-index:251660288;visibility:visible;mso-wrap-edited:f" wrapcoords="1521 771 608 20057 19775 20057 19166 771 1521 771" fillcolor="window">
            <v:imagedata r:id="rId5" o:title=""/>
            <w10:wrap type="through"/>
          </v:shape>
          <o:OLEObject Type="Embed" ProgID="Word.Picture.8" ShapeID="_x0000_s1027" DrawAspect="Content" ObjectID="_1642399744" r:id="rId6"/>
        </w:pict>
      </w:r>
      <w:r w:rsidR="002F4B0D">
        <w:rPr>
          <w:noProof/>
          <w:lang w:val="en-AU" w:eastAsia="en-AU"/>
        </w:rPr>
        <w:drawing>
          <wp:anchor distT="0" distB="0" distL="114300" distR="114300" simplePos="0" relativeHeight="251659264" behindDoc="1" locked="0" layoutInCell="1" allowOverlap="1">
            <wp:simplePos x="0" y="0"/>
            <wp:positionH relativeFrom="column">
              <wp:posOffset>4502785</wp:posOffset>
            </wp:positionH>
            <wp:positionV relativeFrom="paragraph">
              <wp:posOffset>140970</wp:posOffset>
            </wp:positionV>
            <wp:extent cx="1485900" cy="914400"/>
            <wp:effectExtent l="0" t="0" r="0" b="0"/>
            <wp:wrapThrough wrapText="bothSides">
              <wp:wrapPolygon edited="0">
                <wp:start x="0" y="0"/>
                <wp:lineTo x="0" y="21150"/>
                <wp:lineTo x="21323" y="21150"/>
                <wp:lineTo x="2132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B0D">
        <w:t xml:space="preserve">                                                                                                                                                                                                            </w:t>
      </w:r>
    </w:p>
    <w:p w:rsidR="002F4B0D" w:rsidRDefault="002F4B0D" w:rsidP="002F4B0D">
      <w:r>
        <w:rPr>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85283</wp:posOffset>
                </wp:positionH>
                <wp:positionV relativeFrom="paragraph">
                  <wp:posOffset>36664</wp:posOffset>
                </wp:positionV>
                <wp:extent cx="3429000" cy="1598213"/>
                <wp:effectExtent l="19050" t="1905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98213"/>
                        </a:xfrm>
                        <a:prstGeom prst="rect">
                          <a:avLst/>
                        </a:prstGeom>
                        <a:solidFill>
                          <a:srgbClr val="FFFFFF"/>
                        </a:solidFill>
                        <a:ln w="28575">
                          <a:solidFill>
                            <a:srgbClr val="339966"/>
                          </a:solidFill>
                          <a:miter lim="800000"/>
                          <a:headEnd/>
                          <a:tailEnd/>
                        </a:ln>
                      </wps:spPr>
                      <wps:txbx>
                        <w:txbxContent>
                          <w:p w:rsidR="002F4B0D" w:rsidRDefault="002F4B0D" w:rsidP="002F4B0D">
                            <w:pPr>
                              <w:pStyle w:val="Heading1"/>
                              <w:rPr>
                                <w:b/>
                                <w:bCs/>
                                <w:color w:val="FF0000"/>
                                <w:sz w:val="72"/>
                                <w:szCs w:val="72"/>
                              </w:rPr>
                            </w:pPr>
                            <w:r>
                              <w:rPr>
                                <w:b/>
                                <w:bCs/>
                                <w:color w:val="FF0000"/>
                                <w:sz w:val="72"/>
                                <w:szCs w:val="72"/>
                              </w:rPr>
                              <w:t xml:space="preserve">WAATI                    </w:t>
                            </w:r>
                          </w:p>
                          <w:p w:rsidR="002F4B0D" w:rsidRDefault="002F4B0D" w:rsidP="002F4B0D">
                            <w:pPr>
                              <w:rPr>
                                <w:b/>
                                <w:bCs/>
                                <w:color w:val="008000"/>
                              </w:rPr>
                            </w:pPr>
                            <w:r>
                              <w:rPr>
                                <w:b/>
                                <w:bCs/>
                                <w:color w:val="008000"/>
                              </w:rPr>
                              <w:t xml:space="preserve"> </w:t>
                            </w:r>
                          </w:p>
                          <w:p w:rsidR="002F4B0D" w:rsidRDefault="002F4B0D" w:rsidP="002F4B0D">
                            <w:pPr>
                              <w:rPr>
                                <w:b/>
                                <w:bCs/>
                                <w:color w:val="008000"/>
                              </w:rPr>
                            </w:pPr>
                            <w:proofErr w:type="gramStart"/>
                            <w:r>
                              <w:rPr>
                                <w:b/>
                                <w:bCs/>
                                <w:color w:val="008000"/>
                              </w:rPr>
                              <w:t>W.A. Association of Teachers of Italian (Inc.)</w:t>
                            </w:r>
                            <w:proofErr w:type="gramEnd"/>
                          </w:p>
                          <w:p w:rsidR="002F4B0D" w:rsidRPr="0084125A" w:rsidRDefault="002F4B0D" w:rsidP="002F4B0D">
                            <w:pPr>
                              <w:rPr>
                                <w:b/>
                                <w:bCs/>
                                <w:color w:val="008000"/>
                                <w:lang w:val="pt-BR"/>
                              </w:rPr>
                            </w:pPr>
                            <w:smartTag w:uri="urn:schemas-microsoft-com:office:smarttags" w:element="stockticker">
                              <w:r w:rsidRPr="0084125A">
                                <w:rPr>
                                  <w:b/>
                                  <w:bCs/>
                                  <w:color w:val="008000"/>
                                  <w:lang w:val="pt-BR"/>
                                </w:rPr>
                                <w:t>AFS</w:t>
                              </w:r>
                            </w:smartTag>
                            <w:r w:rsidRPr="0084125A">
                              <w:rPr>
                                <w:b/>
                                <w:bCs/>
                                <w:color w:val="008000"/>
                                <w:lang w:val="pt-BR"/>
                              </w:rPr>
                              <w:t>/ Intercultura Exchange Program.</w:t>
                            </w:r>
                          </w:p>
                          <w:p w:rsidR="002F4B0D" w:rsidRDefault="002F4B0D" w:rsidP="002F4B0D">
                            <w:pPr>
                              <w:spacing w:before="120"/>
                              <w:rPr>
                                <w:b/>
                                <w:bCs/>
                                <w:color w:val="008000"/>
                              </w:rPr>
                            </w:pPr>
                            <w:r w:rsidRPr="0084125A">
                              <w:rPr>
                                <w:color w:val="008000"/>
                                <w:lang w:val="pt-BR"/>
                              </w:rPr>
                              <w:t xml:space="preserve"> </w:t>
                            </w:r>
                            <w:r>
                              <w:rPr>
                                <w:b/>
                                <w:bCs/>
                                <w:color w:val="008000"/>
                                <w:lang w:val="pt-BR"/>
                              </w:rPr>
                              <w:t>7 Dux Court, DUNCRAIG WA 6023</w:t>
                            </w:r>
                          </w:p>
                          <w:p w:rsidR="002F4B0D" w:rsidRPr="002F4B0D" w:rsidRDefault="002F4B0D" w:rsidP="002F4B0D">
                            <w:pPr>
                              <w:pStyle w:val="Heading2"/>
                              <w:rPr>
                                <w:color w:val="FF0000"/>
                              </w:rPr>
                            </w:pPr>
                            <w:smartTag w:uri="urn:schemas-microsoft-com:office:smarttags" w:element="stockticker">
                              <w:r>
                                <w:rPr>
                                  <w:color w:val="FF0000"/>
                                </w:rPr>
                                <w:t>ABN</w:t>
                              </w:r>
                            </w:smartTag>
                            <w:r>
                              <w:rPr>
                                <w:color w:val="FF0000"/>
                              </w:rPr>
                              <w:t xml:space="preserve"> 22 669 539 309    GST exempt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pt;margin-top:2.9pt;width:270pt;height:1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PzZMgIAAFk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" strokecolor="#396" strokeweight="2.25pt">
                <v:textbox>
                  <w:txbxContent>
                    <w:p w:rsidR="002F4B0D" w:rsidRDefault="002F4B0D" w:rsidP="002F4B0D">
                      <w:pPr>
                        <w:pStyle w:val="Heading1"/>
                        <w:rPr>
                          <w:b/>
                          <w:bCs/>
                          <w:color w:val="FF0000"/>
                          <w:sz w:val="72"/>
                          <w:szCs w:val="72"/>
                        </w:rPr>
                      </w:pPr>
                      <w:r>
                        <w:rPr>
                          <w:b/>
                          <w:bCs/>
                          <w:color w:val="FF0000"/>
                          <w:sz w:val="72"/>
                          <w:szCs w:val="72"/>
                        </w:rPr>
                        <w:t xml:space="preserve">WAATI                    </w:t>
                      </w:r>
                    </w:p>
                    <w:p w:rsidR="002F4B0D" w:rsidRDefault="002F4B0D" w:rsidP="002F4B0D">
                      <w:pPr>
                        <w:rPr>
                          <w:b/>
                          <w:bCs/>
                          <w:color w:val="008000"/>
                        </w:rPr>
                      </w:pPr>
                      <w:r>
                        <w:rPr>
                          <w:b/>
                          <w:bCs/>
                          <w:color w:val="008000"/>
                        </w:rPr>
                        <w:t xml:space="preserve"> </w:t>
                      </w:r>
                    </w:p>
                    <w:p w:rsidR="002F4B0D" w:rsidRDefault="002F4B0D" w:rsidP="002F4B0D">
                      <w:pPr>
                        <w:rPr>
                          <w:b/>
                          <w:bCs/>
                          <w:color w:val="008000"/>
                        </w:rPr>
                      </w:pPr>
                      <w:proofErr w:type="gramStart"/>
                      <w:r>
                        <w:rPr>
                          <w:b/>
                          <w:bCs/>
                          <w:color w:val="008000"/>
                        </w:rPr>
                        <w:t>W.A. Association of Teachers of Italian (Inc.)</w:t>
                      </w:r>
                      <w:proofErr w:type="gramEnd"/>
                    </w:p>
                    <w:p w:rsidR="002F4B0D" w:rsidRPr="0084125A" w:rsidRDefault="002F4B0D" w:rsidP="002F4B0D">
                      <w:pPr>
                        <w:rPr>
                          <w:b/>
                          <w:bCs/>
                          <w:color w:val="008000"/>
                          <w:lang w:val="pt-BR"/>
                        </w:rPr>
                      </w:pPr>
                      <w:smartTag w:uri="urn:schemas-microsoft-com:office:smarttags" w:element="stockticker">
                        <w:r w:rsidRPr="0084125A">
                          <w:rPr>
                            <w:b/>
                            <w:bCs/>
                            <w:color w:val="008000"/>
                            <w:lang w:val="pt-BR"/>
                          </w:rPr>
                          <w:t>AFS</w:t>
                        </w:r>
                      </w:smartTag>
                      <w:r w:rsidRPr="0084125A">
                        <w:rPr>
                          <w:b/>
                          <w:bCs/>
                          <w:color w:val="008000"/>
                          <w:lang w:val="pt-BR"/>
                        </w:rPr>
                        <w:t>/ Intercultura Exchange Program.</w:t>
                      </w:r>
                    </w:p>
                    <w:p w:rsidR="002F4B0D" w:rsidRDefault="002F4B0D" w:rsidP="002F4B0D">
                      <w:pPr>
                        <w:spacing w:before="120"/>
                        <w:rPr>
                          <w:b/>
                          <w:bCs/>
                          <w:color w:val="008000"/>
                        </w:rPr>
                      </w:pPr>
                      <w:r w:rsidRPr="0084125A">
                        <w:rPr>
                          <w:color w:val="008000"/>
                          <w:lang w:val="pt-BR"/>
                        </w:rPr>
                        <w:t xml:space="preserve"> </w:t>
                      </w:r>
                      <w:r>
                        <w:rPr>
                          <w:b/>
                          <w:bCs/>
                          <w:color w:val="008000"/>
                          <w:lang w:val="pt-BR"/>
                        </w:rPr>
                        <w:t>7 Dux Court, DUNCRAIG WA 6023</w:t>
                      </w:r>
                    </w:p>
                    <w:p w:rsidR="002F4B0D" w:rsidRPr="002F4B0D" w:rsidRDefault="002F4B0D" w:rsidP="002F4B0D">
                      <w:pPr>
                        <w:pStyle w:val="Heading2"/>
                        <w:rPr>
                          <w:color w:val="FF0000"/>
                        </w:rPr>
                      </w:pPr>
                      <w:smartTag w:uri="urn:schemas-microsoft-com:office:smarttags" w:element="stockticker">
                        <w:r>
                          <w:rPr>
                            <w:color w:val="FF0000"/>
                          </w:rPr>
                          <w:t>ABN</w:t>
                        </w:r>
                      </w:smartTag>
                      <w:r>
                        <w:rPr>
                          <w:color w:val="FF0000"/>
                        </w:rPr>
                        <w:t xml:space="preserve"> 22 669 539 309    GST exempt</w:t>
                      </w:r>
                    </w:p>
                  </w:txbxContent>
                </v:textbox>
              </v:shape>
            </w:pict>
          </mc:Fallback>
        </mc:AlternateContent>
      </w:r>
    </w:p>
    <w:p w:rsidR="002F4B0D" w:rsidRDefault="002F4B0D" w:rsidP="002F4B0D">
      <w:r>
        <w:t xml:space="preserve">                                                                      </w:t>
      </w:r>
    </w:p>
    <w:p w:rsidR="002F4B0D" w:rsidRDefault="002F4B0D" w:rsidP="002F4B0D"/>
    <w:p w:rsidR="002F4B0D" w:rsidRDefault="002F4B0D" w:rsidP="002F4B0D"/>
    <w:p w:rsidR="002F4B0D" w:rsidRDefault="002F4B0D" w:rsidP="002F4B0D"/>
    <w:p w:rsidR="002F4B0D" w:rsidRDefault="002F4B0D" w:rsidP="002F4B0D"/>
    <w:p w:rsidR="002F4B0D" w:rsidRDefault="002F4B0D" w:rsidP="002F4B0D"/>
    <w:p w:rsidR="002F4B0D" w:rsidRDefault="002F4B0D" w:rsidP="002F4B0D"/>
    <w:p w:rsidR="002F4B0D" w:rsidRDefault="002F4B0D" w:rsidP="002F4B0D">
      <w:pPr>
        <w:ind w:left="-180"/>
      </w:pPr>
    </w:p>
    <w:p w:rsidR="002F4B0D" w:rsidRDefault="002F4B0D" w:rsidP="002F4B0D">
      <w:pPr>
        <w:ind w:left="-180"/>
      </w:pPr>
    </w:p>
    <w:p w:rsidR="002F4B0D" w:rsidRDefault="002F4B0D" w:rsidP="002F4B0D">
      <w:pPr>
        <w:ind w:left="-180"/>
        <w:rPr>
          <w:rFonts w:ascii="Tahoma" w:hAnsi="Tahoma" w:cs="Tahoma"/>
          <w:b/>
          <w:bCs/>
          <w:sz w:val="36"/>
          <w:szCs w:val="36"/>
          <w:u w:val="single"/>
        </w:rPr>
      </w:pPr>
    </w:p>
    <w:p w:rsidR="002F4B0D" w:rsidRDefault="002F4B0D" w:rsidP="002F4B0D">
      <w:pPr>
        <w:ind w:left="-180"/>
        <w:rPr>
          <w:rFonts w:ascii="Tahoma" w:hAnsi="Tahoma" w:cs="Tahoma"/>
          <w:b/>
          <w:bCs/>
          <w:sz w:val="36"/>
          <w:szCs w:val="36"/>
        </w:rPr>
      </w:pPr>
      <w:r w:rsidRPr="00B866B2">
        <w:rPr>
          <w:rFonts w:ascii="Tahoma" w:hAnsi="Tahoma" w:cs="Tahoma"/>
          <w:b/>
          <w:bCs/>
          <w:sz w:val="36"/>
          <w:szCs w:val="36"/>
        </w:rPr>
        <w:t xml:space="preserve">   </w:t>
      </w:r>
    </w:p>
    <w:p w:rsidR="002F4B0D" w:rsidRDefault="002F4B0D" w:rsidP="002F4B0D">
      <w:pPr>
        <w:ind w:left="-180"/>
        <w:rPr>
          <w:rFonts w:ascii="Tahoma" w:hAnsi="Tahoma" w:cs="Tahoma"/>
          <w:b/>
          <w:bCs/>
          <w:sz w:val="36"/>
          <w:szCs w:val="36"/>
        </w:rPr>
      </w:pPr>
    </w:p>
    <w:p w:rsidR="002F4B0D" w:rsidRDefault="002F4B0D" w:rsidP="002F4B0D">
      <w:pPr>
        <w:ind w:left="-180"/>
        <w:rPr>
          <w:rFonts w:ascii="Tahoma" w:hAnsi="Tahoma" w:cs="Tahoma"/>
          <w:b/>
          <w:bCs/>
          <w:sz w:val="36"/>
          <w:szCs w:val="36"/>
          <w:u w:val="single"/>
        </w:rPr>
      </w:pPr>
      <w:r>
        <w:rPr>
          <w:rFonts w:ascii="Tahoma" w:hAnsi="Tahoma" w:cs="Tahoma"/>
          <w:b/>
          <w:bCs/>
          <w:sz w:val="36"/>
          <w:szCs w:val="36"/>
        </w:rPr>
        <w:t xml:space="preserve">                        </w:t>
      </w:r>
      <w:r>
        <w:rPr>
          <w:rFonts w:ascii="Tahoma" w:hAnsi="Tahoma" w:cs="Tahoma"/>
          <w:b/>
          <w:bCs/>
          <w:sz w:val="36"/>
          <w:szCs w:val="36"/>
          <w:u w:val="single"/>
        </w:rPr>
        <w:t xml:space="preserve">WAATI EXCHANGE in brief </w:t>
      </w:r>
    </w:p>
    <w:p w:rsidR="002F4B0D" w:rsidRDefault="002F4B0D" w:rsidP="002F4B0D">
      <w:pPr>
        <w:ind w:left="-180"/>
        <w:rPr>
          <w:rFonts w:ascii="Tahoma" w:hAnsi="Tahoma" w:cs="Tahoma"/>
          <w:b/>
          <w:bCs/>
          <w:sz w:val="36"/>
          <w:szCs w:val="36"/>
          <w:u w:val="single"/>
        </w:rPr>
      </w:pPr>
      <w:r>
        <w:rPr>
          <w:rFonts w:ascii="Tahoma" w:hAnsi="Tahoma" w:cs="Tahoma"/>
          <w:b/>
          <w:bCs/>
          <w:sz w:val="36"/>
          <w:szCs w:val="36"/>
          <w:u w:val="single"/>
        </w:rPr>
        <w:t xml:space="preserve">                         </w:t>
      </w:r>
    </w:p>
    <w:p w:rsidR="002F4B0D" w:rsidRDefault="002F4B0D" w:rsidP="002F4B0D">
      <w:pPr>
        <w:pStyle w:val="PlainText"/>
      </w:pPr>
    </w:p>
    <w:p w:rsidR="002F4B0D" w:rsidRDefault="002F4B0D" w:rsidP="002F4B0D">
      <w:pPr>
        <w:pStyle w:val="PlainText"/>
      </w:pPr>
      <w:r>
        <w:t xml:space="preserve">The </w:t>
      </w:r>
      <w:r w:rsidRPr="002F4B0D">
        <w:rPr>
          <w:b/>
        </w:rPr>
        <w:t xml:space="preserve">WAATI / AFS INTERCULTURA Student Exchange Program </w:t>
      </w:r>
      <w:proofErr w:type="gramStart"/>
      <w:r>
        <w:t>has</w:t>
      </w:r>
      <w:proofErr w:type="gramEnd"/>
      <w:r>
        <w:t xml:space="preserve"> been running in WA since 19</w:t>
      </w:r>
      <w:r w:rsidR="00B05C3B">
        <w:t>78</w:t>
      </w:r>
      <w:r>
        <w:t>.</w:t>
      </w:r>
    </w:p>
    <w:p w:rsidR="00FB55F5" w:rsidRDefault="002F4B0D" w:rsidP="002F4B0D">
      <w:pPr>
        <w:pStyle w:val="PlainText"/>
      </w:pPr>
      <w:r>
        <w:t>It is a 2 stage program</w:t>
      </w:r>
      <w:r w:rsidR="00FB55F5">
        <w:t xml:space="preserve"> - </w:t>
      </w:r>
      <w:r w:rsidR="00FB55F5">
        <w:rPr>
          <w:b/>
        </w:rPr>
        <w:t>an exchange of cultures between Australia and Italy</w:t>
      </w:r>
      <w:r>
        <w:t xml:space="preserve">. </w:t>
      </w:r>
    </w:p>
    <w:p w:rsidR="002F4B0D" w:rsidRDefault="002F4B0D" w:rsidP="002F4B0D">
      <w:pPr>
        <w:pStyle w:val="PlainText"/>
      </w:pPr>
      <w:r>
        <w:t>I, Fulvia Valvasori, have</w:t>
      </w:r>
      <w:r w:rsidR="00B05C3B">
        <w:t xml:space="preserve"> been involved since 1988, </w:t>
      </w:r>
      <w:r>
        <w:t>marking 3</w:t>
      </w:r>
      <w:r w:rsidR="00112622">
        <w:t>3</w:t>
      </w:r>
      <w:r>
        <w:t xml:space="preserve"> years</w:t>
      </w:r>
      <w:r w:rsidR="00BA12EA">
        <w:t xml:space="preserve"> in 20</w:t>
      </w:r>
      <w:r w:rsidR="00112622">
        <w:t>20</w:t>
      </w:r>
      <w:r>
        <w:t>.</w:t>
      </w:r>
    </w:p>
    <w:p w:rsidR="002F4B0D" w:rsidRPr="002F4B0D" w:rsidRDefault="002F4B0D" w:rsidP="002F4B0D">
      <w:pPr>
        <w:pStyle w:val="PlainText"/>
        <w:rPr>
          <w:b/>
        </w:rPr>
      </w:pPr>
    </w:p>
    <w:p w:rsidR="002F4B0D" w:rsidRPr="002F4B0D" w:rsidRDefault="002F4B0D" w:rsidP="002F4B0D">
      <w:pPr>
        <w:pStyle w:val="PlainText"/>
        <w:rPr>
          <w:b/>
        </w:rPr>
      </w:pPr>
      <w:r w:rsidRPr="002F4B0D">
        <w:rPr>
          <w:b/>
        </w:rPr>
        <w:t>STAGE ONE: HOSTING</w:t>
      </w:r>
    </w:p>
    <w:p w:rsidR="002F4B0D" w:rsidRDefault="002F4B0D" w:rsidP="002F4B0D">
      <w:pPr>
        <w:pStyle w:val="PlainText"/>
      </w:pPr>
      <w:r>
        <w:t>Schools find suitable families who will host an Italian exchange student aged between 15-18, for the period between</w:t>
      </w:r>
      <w:r w:rsidR="00A05077">
        <w:t>,</w:t>
      </w:r>
      <w:r>
        <w:t xml:space="preserve"> the end of</w:t>
      </w:r>
      <w:r w:rsidR="00A05077">
        <w:t xml:space="preserve"> June to the end of Aug</w:t>
      </w:r>
      <w:bookmarkStart w:id="0" w:name="_GoBack"/>
      <w:bookmarkEnd w:id="0"/>
      <w:r w:rsidR="00A05077">
        <w:t xml:space="preserve">ust (8-9 </w:t>
      </w:r>
      <w:r>
        <w:t>weeks</w:t>
      </w:r>
      <w:r w:rsidR="00A05077">
        <w:t>)</w:t>
      </w:r>
      <w:r>
        <w:t>. Exa</w:t>
      </w:r>
      <w:r w:rsidR="00A05077">
        <w:t>ct dates TBC each year.</w:t>
      </w:r>
      <w:r>
        <w:t xml:space="preserve"> The Italian student must attend school during this period. Host families are carefully selected by the schools and approved by the exchange coordinator. As per the law of the land, each member of the family over 18 must apply for a WWC (usually paid for by the school)</w:t>
      </w:r>
    </w:p>
    <w:p w:rsidR="002F4B0D" w:rsidRDefault="002F4B0D" w:rsidP="002F4B0D">
      <w:pPr>
        <w:pStyle w:val="PlainText"/>
      </w:pPr>
    </w:p>
    <w:p w:rsidR="002F4B0D" w:rsidRPr="002F4B0D" w:rsidRDefault="002F4B0D" w:rsidP="002F4B0D">
      <w:pPr>
        <w:pStyle w:val="PlainText"/>
        <w:rPr>
          <w:b/>
        </w:rPr>
      </w:pPr>
      <w:r w:rsidRPr="002F4B0D">
        <w:rPr>
          <w:b/>
        </w:rPr>
        <w:t>STAGE TWO: SENDING</w:t>
      </w:r>
    </w:p>
    <w:p w:rsidR="002F4B0D" w:rsidRDefault="002F4B0D" w:rsidP="002F4B0D">
      <w:pPr>
        <w:pStyle w:val="PlainText"/>
      </w:pPr>
      <w:r>
        <w:t>Schools send suitable students aged between 15-18, to Italy, for a period between the end of November to the end of January. (8-9 weeks. Exact dates TBC each year) A school may send as many students as it hosts in any one year. Special arrangements can be made with the Exchange Coordinator to hold a place for one year but no longer. In almost all cases</w:t>
      </w:r>
      <w:r w:rsidR="00A05077">
        <w:t>,</w:t>
      </w:r>
      <w:r>
        <w:t xml:space="preserve"> a student who hosts will be the student sent</w:t>
      </w:r>
      <w:r w:rsidR="00A05077">
        <w:t>,</w:t>
      </w:r>
      <w:r>
        <w:t xml:space="preserve"> but this is </w:t>
      </w:r>
      <w:r w:rsidRPr="002F4B0D">
        <w:rPr>
          <w:u w:val="single"/>
        </w:rPr>
        <w:t>NOT a foregone conclusion</w:t>
      </w:r>
      <w:r>
        <w:t>. The hosting student must meet the criteria of a suitable sending student.</w:t>
      </w:r>
    </w:p>
    <w:p w:rsidR="002F4B0D" w:rsidRDefault="002F4B0D" w:rsidP="002F4B0D">
      <w:pPr>
        <w:pStyle w:val="PlainText"/>
      </w:pPr>
      <w:r>
        <w:t xml:space="preserve">This does not mean that only students who host can be sent, as it is sometimes the case that (a) the host student may not be considered as a suitable sending student and (b) at times a student who hosts may not be </w:t>
      </w:r>
      <w:r w:rsidR="0046266B">
        <w:t>able to</w:t>
      </w:r>
      <w:r>
        <w:t xml:space="preserve"> or may not be interested in going. In these cases this 'place' can be given to another student in the school.</w:t>
      </w:r>
    </w:p>
    <w:p w:rsidR="002F4B0D" w:rsidRDefault="002F4B0D" w:rsidP="002F4B0D">
      <w:pPr>
        <w:pStyle w:val="PlainText"/>
      </w:pPr>
      <w:r>
        <w:t xml:space="preserve">A student who hosts in one year, can choose not to go in the same year, but can hold the place to the following year. This is sometimes the case if the host is in Year 9 or 10. </w:t>
      </w:r>
    </w:p>
    <w:p w:rsidR="002F4B0D" w:rsidRDefault="002F4B0D" w:rsidP="002F4B0D">
      <w:pPr>
        <w:pStyle w:val="PlainText"/>
      </w:pPr>
      <w:r>
        <w:t xml:space="preserve">The </w:t>
      </w:r>
      <w:r w:rsidR="00BA12EA">
        <w:t>E</w:t>
      </w:r>
      <w:r>
        <w:t>xchange Coordinator is also prepared to consider sending a student who for a very important reason is unable to host. (E.g. There is member o</w:t>
      </w:r>
      <w:r w:rsidR="00B05C3B">
        <w:t xml:space="preserve">f the family with a </w:t>
      </w:r>
      <w:r>
        <w:t xml:space="preserve">disability which can make it too problematic to add another person to the family home) Each case is judged independently. However it is EXPECTED that the majority of students who intend to be sent to Italy will have hosted prior to sending </w:t>
      </w:r>
      <w:r w:rsidRPr="002F4B0D">
        <w:rPr>
          <w:b/>
        </w:rPr>
        <w:t>or</w:t>
      </w:r>
      <w:r>
        <w:t xml:space="preserve"> the student, the parents and the school have signed an </w:t>
      </w:r>
      <w:r w:rsidRPr="002F4B0D">
        <w:rPr>
          <w:u w:val="single"/>
        </w:rPr>
        <w:t>AGREEMENT TO HOST THE FOLLOWING YEAR form.</w:t>
      </w:r>
    </w:p>
    <w:p w:rsidR="002F4B0D" w:rsidRDefault="002F4B0D" w:rsidP="002F4B0D">
      <w:pPr>
        <w:pStyle w:val="PlainText"/>
      </w:pPr>
    </w:p>
    <w:p w:rsidR="002F4B0D" w:rsidRDefault="002F4B0D" w:rsidP="002F4B0D">
      <w:pPr>
        <w:pStyle w:val="PlainText"/>
      </w:pPr>
      <w:r>
        <w:t>For any special consideration, teachers need to contact the exchange Coordinator.</w:t>
      </w:r>
    </w:p>
    <w:p w:rsidR="002F4B0D" w:rsidRDefault="002F4B0D" w:rsidP="002F4B0D">
      <w:pPr>
        <w:pStyle w:val="PlainText"/>
      </w:pPr>
    </w:p>
    <w:p w:rsidR="002F4B0D" w:rsidRDefault="002F4B0D" w:rsidP="002F4B0D">
      <w:pPr>
        <w:pStyle w:val="PlainText"/>
      </w:pPr>
      <w:r>
        <w:t>For any further information or explanation please email the exchange Coordinator, Fulvia Valvasori, at:</w:t>
      </w:r>
      <w:r w:rsidR="0046266B">
        <w:t xml:space="preserve"> </w:t>
      </w:r>
      <w:hyperlink r:id="rId8" w:history="1">
        <w:r w:rsidR="0046266B" w:rsidRPr="007A3F12">
          <w:rPr>
            <w:rStyle w:val="Hyperlink"/>
          </w:rPr>
          <w:t>mrfink@iinet.net.au</w:t>
        </w:r>
      </w:hyperlink>
      <w:r w:rsidR="0046266B">
        <w:t xml:space="preserve"> and</w:t>
      </w:r>
      <w:r>
        <w:t xml:space="preserve"> </w:t>
      </w:r>
      <w:hyperlink r:id="rId9" w:history="1">
        <w:r>
          <w:rPr>
            <w:rStyle w:val="Hyperlink"/>
          </w:rPr>
          <w:t>waati.exchange@gmail.com</w:t>
        </w:r>
      </w:hyperlink>
    </w:p>
    <w:p w:rsidR="002F4B0D" w:rsidRDefault="002F4B0D" w:rsidP="002F4B0D">
      <w:pPr>
        <w:pStyle w:val="PlainText"/>
      </w:pPr>
    </w:p>
    <w:p w:rsidR="002F4B0D" w:rsidRPr="002F4B0D" w:rsidRDefault="002F4B0D" w:rsidP="002F4B0D">
      <w:pPr>
        <w:pStyle w:val="PlainText"/>
        <w:rPr>
          <w:b/>
        </w:rPr>
      </w:pPr>
      <w:r w:rsidRPr="002F4B0D">
        <w:rPr>
          <w:b/>
        </w:rPr>
        <w:t>Fulvia Valvasori</w:t>
      </w:r>
    </w:p>
    <w:p w:rsidR="002F4B0D" w:rsidRDefault="002F4B0D" w:rsidP="002F4B0D">
      <w:pPr>
        <w:pStyle w:val="PlainText"/>
        <w:rPr>
          <w:b/>
        </w:rPr>
      </w:pPr>
      <w:r w:rsidRPr="002F4B0D">
        <w:rPr>
          <w:b/>
        </w:rPr>
        <w:t>WAATI Exchange Coordinator</w:t>
      </w:r>
    </w:p>
    <w:p w:rsidR="002F4B0D" w:rsidRDefault="002F4B0D" w:rsidP="002F4B0D">
      <w:pPr>
        <w:rPr>
          <w:rFonts w:ascii="Tahoma" w:hAnsi="Tahoma" w:cs="Tahoma"/>
          <w:b/>
          <w:bCs/>
          <w:sz w:val="18"/>
          <w:szCs w:val="18"/>
        </w:rPr>
      </w:pPr>
    </w:p>
    <w:p w:rsidR="00B2279F" w:rsidRDefault="00B2279F"/>
    <w:sectPr w:rsidR="00B2279F" w:rsidSect="002F4B0D">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0D"/>
    <w:rsid w:val="00112622"/>
    <w:rsid w:val="002F4B0D"/>
    <w:rsid w:val="0046266B"/>
    <w:rsid w:val="00942058"/>
    <w:rsid w:val="009E6CA8"/>
    <w:rsid w:val="00A05077"/>
    <w:rsid w:val="00B05C3B"/>
    <w:rsid w:val="00B2279F"/>
    <w:rsid w:val="00BA12EA"/>
    <w:rsid w:val="00F87761"/>
    <w:rsid w:val="00FB5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0D"/>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Heading1">
    <w:name w:val="heading 1"/>
    <w:basedOn w:val="Normal"/>
    <w:next w:val="Normal"/>
    <w:link w:val="Heading1Char"/>
    <w:uiPriority w:val="99"/>
    <w:qFormat/>
    <w:rsid w:val="002F4B0D"/>
    <w:pPr>
      <w:keepNext/>
      <w:widowControl/>
      <w:autoSpaceDE/>
      <w:autoSpaceDN/>
      <w:adjustRightInd/>
      <w:outlineLvl w:val="0"/>
    </w:pPr>
    <w:rPr>
      <w:sz w:val="52"/>
      <w:szCs w:val="52"/>
    </w:rPr>
  </w:style>
  <w:style w:type="paragraph" w:styleId="Heading2">
    <w:name w:val="heading 2"/>
    <w:basedOn w:val="Normal"/>
    <w:next w:val="Normal"/>
    <w:link w:val="Heading2Char"/>
    <w:uiPriority w:val="99"/>
    <w:qFormat/>
    <w:rsid w:val="002F4B0D"/>
    <w:pPr>
      <w:keepNext/>
      <w:widowControl/>
      <w:autoSpaceDE/>
      <w:autoSpaceDN/>
      <w:adjustRightInd/>
      <w:spacing w:before="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4B0D"/>
    <w:rPr>
      <w:rFonts w:ascii="Arial" w:eastAsia="Times New Roman" w:hAnsi="Arial" w:cs="Arial"/>
      <w:sz w:val="52"/>
      <w:szCs w:val="52"/>
      <w:lang w:val="en-US"/>
    </w:rPr>
  </w:style>
  <w:style w:type="character" w:customStyle="1" w:styleId="Heading2Char">
    <w:name w:val="Heading 2 Char"/>
    <w:basedOn w:val="DefaultParagraphFont"/>
    <w:link w:val="Heading2"/>
    <w:uiPriority w:val="99"/>
    <w:rsid w:val="002F4B0D"/>
    <w:rPr>
      <w:rFonts w:ascii="Arial" w:eastAsia="Times New Roman" w:hAnsi="Arial" w:cs="Arial"/>
      <w:b/>
      <w:bCs/>
      <w:sz w:val="20"/>
      <w:szCs w:val="20"/>
      <w:lang w:val="en-US"/>
    </w:rPr>
  </w:style>
  <w:style w:type="character" w:styleId="Hyperlink">
    <w:name w:val="Hyperlink"/>
    <w:basedOn w:val="DefaultParagraphFont"/>
    <w:uiPriority w:val="99"/>
    <w:unhideWhenUsed/>
    <w:rsid w:val="002F4B0D"/>
    <w:rPr>
      <w:color w:val="0000FF" w:themeColor="hyperlink"/>
      <w:u w:val="single"/>
    </w:rPr>
  </w:style>
  <w:style w:type="paragraph" w:styleId="PlainText">
    <w:name w:val="Plain Text"/>
    <w:basedOn w:val="Normal"/>
    <w:link w:val="PlainTextChar"/>
    <w:uiPriority w:val="99"/>
    <w:semiHidden/>
    <w:unhideWhenUsed/>
    <w:rsid w:val="002F4B0D"/>
    <w:pPr>
      <w:widowControl/>
      <w:autoSpaceDE/>
      <w:autoSpaceDN/>
      <w:adjustRightInd/>
    </w:pPr>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semiHidden/>
    <w:rsid w:val="002F4B0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0D"/>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Heading1">
    <w:name w:val="heading 1"/>
    <w:basedOn w:val="Normal"/>
    <w:next w:val="Normal"/>
    <w:link w:val="Heading1Char"/>
    <w:uiPriority w:val="99"/>
    <w:qFormat/>
    <w:rsid w:val="002F4B0D"/>
    <w:pPr>
      <w:keepNext/>
      <w:widowControl/>
      <w:autoSpaceDE/>
      <w:autoSpaceDN/>
      <w:adjustRightInd/>
      <w:outlineLvl w:val="0"/>
    </w:pPr>
    <w:rPr>
      <w:sz w:val="52"/>
      <w:szCs w:val="52"/>
    </w:rPr>
  </w:style>
  <w:style w:type="paragraph" w:styleId="Heading2">
    <w:name w:val="heading 2"/>
    <w:basedOn w:val="Normal"/>
    <w:next w:val="Normal"/>
    <w:link w:val="Heading2Char"/>
    <w:uiPriority w:val="99"/>
    <w:qFormat/>
    <w:rsid w:val="002F4B0D"/>
    <w:pPr>
      <w:keepNext/>
      <w:widowControl/>
      <w:autoSpaceDE/>
      <w:autoSpaceDN/>
      <w:adjustRightInd/>
      <w:spacing w:before="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4B0D"/>
    <w:rPr>
      <w:rFonts w:ascii="Arial" w:eastAsia="Times New Roman" w:hAnsi="Arial" w:cs="Arial"/>
      <w:sz w:val="52"/>
      <w:szCs w:val="52"/>
      <w:lang w:val="en-US"/>
    </w:rPr>
  </w:style>
  <w:style w:type="character" w:customStyle="1" w:styleId="Heading2Char">
    <w:name w:val="Heading 2 Char"/>
    <w:basedOn w:val="DefaultParagraphFont"/>
    <w:link w:val="Heading2"/>
    <w:uiPriority w:val="99"/>
    <w:rsid w:val="002F4B0D"/>
    <w:rPr>
      <w:rFonts w:ascii="Arial" w:eastAsia="Times New Roman" w:hAnsi="Arial" w:cs="Arial"/>
      <w:b/>
      <w:bCs/>
      <w:sz w:val="20"/>
      <w:szCs w:val="20"/>
      <w:lang w:val="en-US"/>
    </w:rPr>
  </w:style>
  <w:style w:type="character" w:styleId="Hyperlink">
    <w:name w:val="Hyperlink"/>
    <w:basedOn w:val="DefaultParagraphFont"/>
    <w:uiPriority w:val="99"/>
    <w:unhideWhenUsed/>
    <w:rsid w:val="002F4B0D"/>
    <w:rPr>
      <w:color w:val="0000FF" w:themeColor="hyperlink"/>
      <w:u w:val="single"/>
    </w:rPr>
  </w:style>
  <w:style w:type="paragraph" w:styleId="PlainText">
    <w:name w:val="Plain Text"/>
    <w:basedOn w:val="Normal"/>
    <w:link w:val="PlainTextChar"/>
    <w:uiPriority w:val="99"/>
    <w:semiHidden/>
    <w:unhideWhenUsed/>
    <w:rsid w:val="002F4B0D"/>
    <w:pPr>
      <w:widowControl/>
      <w:autoSpaceDE/>
      <w:autoSpaceDN/>
      <w:adjustRightInd/>
    </w:pPr>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semiHidden/>
    <w:rsid w:val="002F4B0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fink@iinet.net.au"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ati.exchan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2020-02-05T01:23:00Z</dcterms:created>
  <dcterms:modified xsi:type="dcterms:W3CDTF">2020-02-05T01:23:00Z</dcterms:modified>
</cp:coreProperties>
</file>